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AE5" w:rsidRPr="00B539AF" w:rsidRDefault="00201AE5" w:rsidP="00201AE5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Phụ lục I</w:t>
      </w:r>
    </w:p>
    <w:p w:rsidR="00201AE5" w:rsidRPr="00B539AF" w:rsidRDefault="00201AE5" w:rsidP="00201AE5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GIỚI HẠN LIỀU ĐỐI VỚI CHIẾU XẠ NGHỀ NGHIỆP</w:t>
      </w:r>
      <w:r w:rsidRPr="00B539AF">
        <w:rPr>
          <w:rFonts w:ascii="Arial" w:hAnsi="Arial" w:cs="Arial"/>
          <w:color w:val="000000" w:themeColor="text1"/>
          <w:sz w:val="20"/>
          <w:szCs w:val="20"/>
        </w:rPr>
        <w:br/>
      </w: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 xml:space="preserve"> VÀ CHIẾU XẠ CÔNG CHÚNG</w:t>
      </w:r>
    </w:p>
    <w:p w:rsidR="00201AE5" w:rsidRDefault="00201AE5" w:rsidP="00201AE5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i/>
          <w:color w:val="000000" w:themeColor="text1"/>
          <w:sz w:val="20"/>
          <w:szCs w:val="20"/>
        </w:rPr>
        <w:t>(Kèm theo Nghị định số 332/2025/NĐ-CP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B539AF">
        <w:rPr>
          <w:rFonts w:ascii="Arial" w:hAnsi="Arial" w:cs="Arial"/>
          <w:i/>
          <w:color w:val="000000" w:themeColor="text1"/>
          <w:sz w:val="20"/>
          <w:szCs w:val="20"/>
        </w:rPr>
        <w:t>ngày 18 tháng 12 năm 2025 của Chính phủ)</w:t>
      </w:r>
    </w:p>
    <w:p w:rsidR="00201AE5" w:rsidRPr="00B539AF" w:rsidRDefault="00201AE5" w:rsidP="00201AE5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01AE5" w:rsidRPr="00A23FC7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1. Giới hạn liều nghề nghiệp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>Đối với nhân viên bức xạ trên 18 tuổi: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>1.1. Liều hiệu dụng là 20 mSv trong một năm, được lấy trung bình trong 5 năm kế tiếp nhau (100 mSv trong 5 năm) và không quá 50 mSv trong một năm đơn lẻ bất kỳ.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>1.2. Liều tương đương đối với thủy tinh thể của mắt là 20 mSv trong một năm, được lấy trung bình trong 5 năm kế tiếp nhau (100 mSv trong 5 năm) và không quá 50 mSv trong một năm đơn lẻ bất kỳ.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>1.3. Liều tương đương đối với chân, tay hoặc da là 500 mSv trong một năm.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2.</w:t>
      </w:r>
      <w:r w:rsidRPr="00B539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39AF">
        <w:rPr>
          <w:rFonts w:ascii="Arial" w:hAnsi="Arial" w:cs="Arial"/>
          <w:b/>
          <w:color w:val="000000" w:themeColor="text1"/>
          <w:sz w:val="20"/>
          <w:szCs w:val="20"/>
        </w:rPr>
        <w:t>Giới hạn liều công chúng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>2.1. Liều hiệu dụng là 1 mSv trong một năm. Trong những trường hợp đặc biệt, có thể áp dụng giá trị cao hơn nhưng liều hiệu dụng trung bình trong 5 năm kế tiếp nhau không được vượt quá 1 mSv/năm.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>2.2. Liều tương đương đối với thủy tinh thể của mắt là 15 mSv trong một năm.</w:t>
      </w:r>
    </w:p>
    <w:p w:rsidR="00201AE5" w:rsidRPr="00B539AF" w:rsidRDefault="00201AE5" w:rsidP="00201AE5">
      <w:pPr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9AF">
        <w:rPr>
          <w:rFonts w:ascii="Arial" w:hAnsi="Arial" w:cs="Arial"/>
          <w:color w:val="000000" w:themeColor="text1"/>
          <w:sz w:val="20"/>
          <w:szCs w:val="20"/>
        </w:rPr>
        <w:t xml:space="preserve">2.3. Liều tương đương đối với da là 50 mSv trong một năm. </w:t>
      </w:r>
    </w:p>
    <w:p w:rsidR="0034473B" w:rsidRDefault="00201AE5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E5"/>
    <w:rsid w:val="00017AFF"/>
    <w:rsid w:val="000C3E46"/>
    <w:rsid w:val="0017574B"/>
    <w:rsid w:val="001D103E"/>
    <w:rsid w:val="00201AE5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4B0AB1-BFD6-4D54-AA49-5F00532E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AE5"/>
    <w:pPr>
      <w:spacing w:after="160" w:line="259" w:lineRule="auto"/>
      <w:jc w:val="left"/>
    </w:pPr>
    <w:rPr>
      <w:rFonts w:asciiTheme="minorHAnsi" w:eastAsiaTheme="minorEastAsia" w:hAnsiTheme="minorHAnsi" w:cstheme="minorBidi"/>
      <w:color w:val="auto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2025-12-29T03:29:00Z</dcterms:created>
  <dcterms:modified xsi:type="dcterms:W3CDTF">2025-12-29T03:29:00Z</dcterms:modified>
</cp:coreProperties>
</file>